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360"/>
        <w:rPr>
          <w:bCs/>
          <w:lang w:val="lt-LT"/>
        </w:rPr>
      </w:pPr>
      <w:r>
        <w:rPr>
          <w:b/>
          <w:bCs/>
          <w:lang w:val="lt-LT"/>
        </w:rPr>
        <w:t xml:space="preserve">                              </w:t>
      </w:r>
      <w:r>
        <w:rPr>
          <w:b/>
          <w:bCs/>
          <w:lang w:val="lt-LT"/>
        </w:rPr>
        <w:t>ŠIAULIŲ  LOPŠELIS- DARŽELIS  “ĄŽUOLIUKAS ”</w:t>
      </w:r>
    </w:p>
    <w:p>
      <w:pPr>
        <w:pStyle w:val="Normal"/>
        <w:spacing w:lineRule="auto" w:line="360"/>
        <w:jc w:val="center"/>
        <w:rPr>
          <w:lang w:val="lt-LT"/>
        </w:rPr>
      </w:pPr>
      <w:r>
        <w:rPr>
          <w:bCs/>
          <w:lang w:val="lt-LT"/>
        </w:rPr>
        <w:t>190525283, RŪDĖS G. 6, ŠIAULIAI</w:t>
      </w:r>
    </w:p>
    <w:p>
      <w:pPr>
        <w:pStyle w:val="Normal"/>
        <w:spacing w:lineRule="auto" w:line="360"/>
        <w:rPr>
          <w:b/>
          <w:b/>
          <w:lang w:val="lt-LT"/>
        </w:rPr>
      </w:pPr>
      <w:r>
        <w:rPr>
          <w:lang w:val="lt-LT"/>
        </w:rPr>
        <w:t xml:space="preserve">                                            </w:t>
      </w:r>
    </w:p>
    <w:p>
      <w:pPr>
        <w:pStyle w:val="Normal"/>
        <w:spacing w:lineRule="auto" w:line="360"/>
        <w:jc w:val="both"/>
        <w:rPr>
          <w:b/>
          <w:b/>
          <w:lang w:val="lt-LT"/>
        </w:rPr>
      </w:pPr>
      <w:r>
        <w:rPr>
          <w:b/>
          <w:lang w:val="lt-LT"/>
        </w:rPr>
        <w:t xml:space="preserve">                                </w:t>
      </w:r>
      <w:r>
        <w:rPr>
          <w:b/>
          <w:lang w:val="lt-LT"/>
        </w:rPr>
        <w:t>2016 METŲ III KETVIRČIO TARPINIŲ FINANSINIŲ ATASKAITŲ</w:t>
      </w:r>
    </w:p>
    <w:p>
      <w:pPr>
        <w:pStyle w:val="Normal"/>
        <w:spacing w:lineRule="auto" w:line="360"/>
        <w:jc w:val="center"/>
        <w:rPr>
          <w:lang w:val="lt-LT"/>
        </w:rPr>
      </w:pPr>
      <w:r>
        <w:rPr>
          <w:b/>
          <w:lang w:val="lt-LT"/>
        </w:rPr>
        <w:t>AIŠKINAMASIS  RAŠTAS</w:t>
      </w:r>
    </w:p>
    <w:p>
      <w:pPr>
        <w:pStyle w:val="Normal"/>
        <w:spacing w:lineRule="auto" w:line="360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360"/>
        <w:ind w:left="284" w:right="0" w:hanging="0"/>
        <w:jc w:val="center"/>
        <w:rPr>
          <w:lang w:val="lt-LT"/>
        </w:rPr>
      </w:pPr>
      <w:r>
        <w:rPr>
          <w:b/>
          <w:lang w:val="lt-LT"/>
        </w:rPr>
        <w:t>I. BENDROJI  DALIS</w:t>
      </w:r>
    </w:p>
    <w:p>
      <w:pPr>
        <w:pStyle w:val="Normal"/>
        <w:spacing w:lineRule="auto" w:line="360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360"/>
        <w:rPr>
          <w:lang w:val="lt-LT"/>
        </w:rPr>
      </w:pPr>
      <w:r>
        <w:rPr>
          <w:b/>
          <w:lang w:val="lt-LT"/>
        </w:rPr>
        <w:t xml:space="preserve">Informacija apie įstaigą </w:t>
      </w:r>
    </w:p>
    <w:p>
      <w:pPr>
        <w:pStyle w:val="Normal"/>
        <w:spacing w:lineRule="auto" w:line="360"/>
        <w:ind w:left="0" w:right="0" w:firstLine="645"/>
        <w:jc w:val="both"/>
        <w:rPr/>
      </w:pPr>
      <w:r>
        <w:rPr>
          <w:lang w:val="lt-LT"/>
        </w:rPr>
        <w:t>Subjekto pavadinimas - Šiaulių  lopšelis–darželis „Ąžuoliukas“. Įstaigos kodas 190525283 Savarankiška Šiaulių miesto savivaldybės biudžetinė įstaiga, vykdanti ikimokyklinio, kodas - 09 01  01 01  ir priešmokyklinio ugdymo, kodas - 09 01 02 01 programas. Įstaiga įregistruota Valstybės įmonės Registrų centro Šiaulių filiale 1994 m. spalio 11 d. Buveinė – Rūdės g. 6, Šiauliai, LT-77151 Lopšeliui darželiui „Ąžuoliukas“  2004 m. kovo 18 d. suteiktas paramos gavėjo statusas. Įstaigoje veikia 6 ugdytinių grupės, kurias lanko 118 vaikų. Šiaulių miesto savivaldybė patvirtino 30,5 etatų. Iš jų: 14,5 - pedagoginių darbuotojų ir 16 techninio personalo. Įstaigoje dirbančių vidutiniškas darbuotojų skaičius - 32 darbuotojai. Šiaulių lopšelis-darželis „Ąžuoliukas“ yra juridinis asmuo, turintis savo išlaidų sąmatas, savarankišką balansą, antspaudą su savo pavadinimu, atskaitomąsias sąskaitas Lietuvos bankuose, bei savo simboliką.</w:t>
      </w:r>
    </w:p>
    <w:p>
      <w:pPr>
        <w:pStyle w:val="Normal"/>
        <w:spacing w:lineRule="auto" w:line="360"/>
        <w:jc w:val="both"/>
        <w:rPr/>
      </w:pPr>
      <w:r>
        <w:rPr>
          <w:lang w:val="lt-LT"/>
        </w:rPr>
        <w:t xml:space="preserve">       </w:t>
      </w:r>
      <w:r>
        <w:rPr>
          <w:lang w:val="lt-LT"/>
        </w:rPr>
        <w:t>Lopšelio–darželio tarpinės finansinės ataskaitos teikiamos už 2016 metų III ketvirtį.</w:t>
      </w:r>
    </w:p>
    <w:p>
      <w:pPr>
        <w:pStyle w:val="Normal"/>
        <w:spacing w:lineRule="auto" w:line="360"/>
        <w:ind w:left="285" w:right="0" w:hanging="0"/>
        <w:jc w:val="both"/>
        <w:rPr/>
      </w:pPr>
      <w:r>
        <w:rPr>
          <w:lang w:val="lt-LT"/>
        </w:rPr>
        <w:t xml:space="preserve">  </w:t>
      </w:r>
      <w:r>
        <w:rPr>
          <w:lang w:val="lt-LT"/>
        </w:rPr>
        <w:t>Šiaulių lopšelis-darželis „Ąžuoliukas“ kontroliuojamų ir asocijuotųjų subjektų  neturi.</w:t>
      </w:r>
    </w:p>
    <w:p>
      <w:pPr>
        <w:pStyle w:val="Normal"/>
        <w:spacing w:lineRule="auto" w:line="360"/>
        <w:jc w:val="both"/>
        <w:rPr/>
      </w:pPr>
      <w:r>
        <w:rPr>
          <w:lang w:val="lt-LT"/>
        </w:rPr>
        <w:t xml:space="preserve">      </w:t>
      </w:r>
      <w:r>
        <w:rPr>
          <w:lang w:val="lt-LT"/>
        </w:rPr>
        <w:t>Svarbių įvykių ar aplinkybių, kurio galėtų paveikti įstaigos veiklą finansinių ataskaitų sudarymo dieną nėra.</w:t>
      </w:r>
    </w:p>
    <w:p>
      <w:pPr>
        <w:pStyle w:val="Normal"/>
        <w:spacing w:lineRule="auto" w:line="360"/>
        <w:ind w:left="284" w:right="0" w:hanging="0"/>
        <w:jc w:val="both"/>
        <w:rPr/>
      </w:pPr>
      <w:r>
        <w:rPr>
          <w:lang w:val="lt-LT"/>
        </w:rPr>
        <w:t xml:space="preserve"> </w:t>
      </w:r>
      <w:r>
        <w:rPr>
          <w:lang w:val="lt-LT"/>
        </w:rPr>
        <w:t xml:space="preserve">Finansinėse ataskaitose pateikti duomenys Lietuvos Respublikos piniginiais vienetais – eurais.                                   </w:t>
      </w:r>
    </w:p>
    <w:p>
      <w:pPr>
        <w:pStyle w:val="Normal"/>
        <w:spacing w:lineRule="auto" w:line="360"/>
        <w:ind w:left="284" w:right="0" w:hanging="0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360"/>
        <w:ind w:left="284" w:right="0" w:hanging="0"/>
        <w:jc w:val="center"/>
        <w:rPr>
          <w:b/>
          <w:b/>
          <w:lang w:val="lt-LT"/>
        </w:rPr>
      </w:pPr>
      <w:r>
        <w:rPr>
          <w:b/>
          <w:lang w:val="lt-LT"/>
        </w:rPr>
        <w:t>II. APSKAITOS POLITIKA</w:t>
      </w:r>
    </w:p>
    <w:p>
      <w:pPr>
        <w:pStyle w:val="Normal"/>
        <w:spacing w:lineRule="auto" w:line="360"/>
        <w:ind w:left="284" w:right="0" w:hanging="0"/>
        <w:jc w:val="center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spacing w:lineRule="auto" w:line="360"/>
        <w:ind w:left="284" w:right="0" w:hanging="0"/>
        <w:rPr/>
      </w:pPr>
      <w:r>
        <w:rPr>
          <w:b/>
          <w:lang w:val="lt-LT"/>
        </w:rPr>
        <w:tab/>
      </w:r>
      <w:r>
        <w:rPr>
          <w:lang w:val="lt-LT"/>
        </w:rPr>
        <w:t>Įstaigos buhalterinė apskaita tvarkoma ir finansinių ataskaitų rinkinys rengiamas pagal šiuos apskaitą reglamentuojančius teisės aktus:</w:t>
      </w:r>
    </w:p>
    <w:p>
      <w:pPr>
        <w:pStyle w:val="Normal"/>
        <w:spacing w:lineRule="auto" w:line="360"/>
        <w:ind w:left="284" w:right="0" w:hanging="0"/>
        <w:rPr>
          <w:lang w:val="lt-LT"/>
        </w:rPr>
      </w:pPr>
      <w:r>
        <w:rPr>
          <w:lang w:val="lt-LT"/>
        </w:rPr>
        <w:tab/>
        <w:t>Viešojo sektoriaus apskaitos ir finansinės atskaitomybės standartai;</w:t>
      </w:r>
    </w:p>
    <w:p>
      <w:pPr>
        <w:pStyle w:val="Normal"/>
        <w:spacing w:lineRule="auto" w:line="360"/>
        <w:ind w:left="284" w:right="0" w:hanging="0"/>
        <w:rPr>
          <w:lang w:val="lt-LT"/>
        </w:rPr>
      </w:pPr>
      <w:r>
        <w:rPr>
          <w:lang w:val="lt-LT"/>
        </w:rPr>
        <w:tab/>
        <w:t>Lietuvos Respublikos buhalterinės apskaitos įstatymas;</w:t>
      </w:r>
    </w:p>
    <w:p>
      <w:pPr>
        <w:pStyle w:val="Normal"/>
        <w:spacing w:lineRule="auto" w:line="360"/>
        <w:ind w:left="284" w:right="0" w:hanging="0"/>
        <w:rPr>
          <w:lang w:val="lt-LT"/>
        </w:rPr>
      </w:pPr>
      <w:r>
        <w:rPr>
          <w:lang w:val="lt-LT"/>
        </w:rPr>
        <w:tab/>
        <w:t>Lietuvos Respublikos viešojo sektoriaus atskaitomybės įstatymas;</w:t>
      </w:r>
    </w:p>
    <w:p>
      <w:pPr>
        <w:pStyle w:val="Normal"/>
        <w:spacing w:lineRule="auto" w:line="360"/>
        <w:ind w:left="284" w:right="0" w:hanging="0"/>
        <w:rPr>
          <w:b/>
          <w:b/>
          <w:lang w:val="lt-LT"/>
        </w:rPr>
      </w:pPr>
      <w:r>
        <w:rPr>
          <w:lang w:val="lt-LT"/>
        </w:rPr>
        <w:tab/>
        <w:t>Lietuvos Respublikos biudžetinių įstaigų įstatymas;</w:t>
      </w:r>
    </w:p>
    <w:p>
      <w:pPr>
        <w:pStyle w:val="Normal"/>
        <w:tabs>
          <w:tab w:val="left" w:pos="768" w:leader="none"/>
        </w:tabs>
        <w:spacing w:lineRule="auto" w:line="360"/>
        <w:ind w:left="284" w:right="0" w:hanging="0"/>
        <w:rPr>
          <w:b/>
          <w:b/>
        </w:rPr>
      </w:pPr>
      <w:r>
        <w:rPr>
          <w:b/>
          <w:lang w:val="lt-LT"/>
        </w:rPr>
        <w:tab/>
      </w:r>
      <w:r>
        <w:rPr>
          <w:lang w:val="lt-LT"/>
        </w:rPr>
        <w:t>Įstaigos apskaitos politika yra parengta vadovaujantis VSAFAS ir patvirtinta 2011m. lapkričio 11 d direktoriaus įsakymu Nr. V-20 ir išdėstyta įstaigos buhalterinės apskaitos vadove.</w:t>
      </w:r>
    </w:p>
    <w:p>
      <w:pPr>
        <w:pStyle w:val="Normal"/>
        <w:widowControl w:val="false"/>
        <w:shd w:fill="FFFFFF" w:val="clear"/>
        <w:autoSpaceDE w:val="false"/>
        <w:spacing w:lineRule="auto" w:line="360"/>
        <w:jc w:val="both"/>
        <w:rPr>
          <w:b/>
          <w:b/>
        </w:rPr>
      </w:pPr>
      <w:r>
        <w:rPr>
          <w:b/>
          <w:lang w:val="lt-LT"/>
        </w:rPr>
        <w:tab/>
      </w:r>
      <w:r>
        <w:rPr>
          <w:lang w:val="lt-LT"/>
        </w:rPr>
        <w:t xml:space="preserve">Ūkinės operacijos ir įvykiai registruojami ir finansinių ataskaitų rinkinys rengiamas taikant šiuos bendruosius apskaitos principus: kaupimo, subjekto, veiklos tęstinumo, periodiškumo, pastovumo, piniginio mato, palyginimo, atsargumo, neutralumo, turinio viršenybės prieš formą. </w:t>
      </w:r>
    </w:p>
    <w:p>
      <w:pPr>
        <w:pStyle w:val="Normal"/>
        <w:tabs>
          <w:tab w:val="left" w:pos="840" w:leader="none"/>
        </w:tabs>
        <w:spacing w:lineRule="auto" w:line="360"/>
        <w:ind w:left="284" w:right="0" w:hanging="0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spacing w:lineRule="auto" w:line="360"/>
        <w:ind w:left="284" w:right="0" w:hanging="0"/>
        <w:jc w:val="center"/>
        <w:rPr>
          <w:b/>
          <w:b/>
          <w:lang w:val="lt-LT"/>
        </w:rPr>
      </w:pPr>
      <w:r>
        <w:rPr>
          <w:b/>
          <w:lang w:val="lt-LT"/>
        </w:rPr>
        <w:t>III. PASTABOS</w:t>
      </w:r>
    </w:p>
    <w:p>
      <w:pPr>
        <w:pStyle w:val="Normal"/>
        <w:spacing w:lineRule="auto" w:line="360"/>
        <w:ind w:left="284" w:right="0" w:hanging="0"/>
        <w:jc w:val="center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lang w:val="lt-LT"/>
        </w:rPr>
      </w:pPr>
      <w:r>
        <w:rPr>
          <w:b/>
          <w:caps/>
          <w:lang w:val="lt-LT"/>
        </w:rPr>
        <w:t xml:space="preserve">                                   </w:t>
      </w:r>
      <w:r>
        <w:rPr>
          <w:b/>
          <w:caps/>
          <w:lang w:val="lt-LT"/>
        </w:rPr>
        <w:t>Finansinės būklės ataskaita</w:t>
      </w:r>
    </w:p>
    <w:p>
      <w:pPr>
        <w:pStyle w:val="Normal"/>
        <w:spacing w:lineRule="auto" w:line="360"/>
        <w:ind w:left="0" w:right="0" w:firstLine="567"/>
        <w:jc w:val="both"/>
        <w:rPr/>
      </w:pPr>
      <w:r>
        <w:rPr>
          <w:lang w:val="lt-LT"/>
        </w:rPr>
        <w:t>Finansinės būklės ataskaita pagal 2016 m. rugsėjo 30 d. duomenis ir praėjusio ataskaitinio laikotarpio pagal 2015 m rugsėjo 30 d. duomenis:</w:t>
      </w:r>
    </w:p>
    <w:p>
      <w:pPr>
        <w:pStyle w:val="Normal"/>
        <w:spacing w:lineRule="auto" w:line="360"/>
        <w:ind w:left="0" w:right="0" w:firstLine="567"/>
        <w:jc w:val="both"/>
        <w:rPr>
          <w:lang w:val="lt-LT"/>
        </w:rPr>
      </w:pPr>
      <w:r>
        <w:rPr>
          <w:lang w:val="lt-LT"/>
        </w:rPr>
      </w:r>
    </w:p>
    <w:tbl>
      <w:tblPr>
        <w:tblW w:w="9630" w:type="dxa"/>
        <w:jc w:val="left"/>
        <w:tblInd w:w="-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655"/>
      </w:tblGrid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>
              <w:rPr>
                <w:lang w:val="lt-LT"/>
              </w:rPr>
              <w:t>Programinė įranga ir jos licencijos likutinė vertė: 0 Eur.</w:t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>
              <w:rPr>
                <w:lang w:val="lt-LT"/>
              </w:rPr>
              <w:t xml:space="preserve">Pastato likutinė vertė : 94305,1 Eur. </w:t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>
              <w:rPr>
                <w:lang w:val="lt-LT"/>
              </w:rPr>
              <w:t>Kitų statinių likutinė vertė: 6883,31 Eur.</w:t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>
              <w:rPr>
                <w:lang w:val="lt-LT"/>
              </w:rPr>
              <w:t xml:space="preserve">Mašinos ir įrengimai : 2229,92 Eur. (kitų mašinų ir įrengimų likutinė vertė)  </w:t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>
              <w:rPr>
                <w:lang w:val="lt-LT"/>
              </w:rPr>
              <w:t>Baldai ir biuro įranga : 334,27 Eur. ( likutinė vertė)</w:t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>
              <w:rPr>
                <w:lang w:val="lt-LT"/>
              </w:rPr>
              <w:t>Maisto produktų likutis sandėlyje: 564,88 Eur</w:t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>
              <w:rPr>
                <w:lang w:val="lt-LT"/>
              </w:rPr>
              <w:t>Išankstiniai apmokėjimai: 1,6 Eur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Gautinos už paslaugas  – 6124,69 Eur. (Tėvų mokesčiai 6060,69 Eur ir gautinos pajamos už salės nuomą  64,00)</w:t>
            </w:r>
          </w:p>
        </w:tc>
      </w:tr>
      <w:tr>
        <w:trPr>
          <w:trHeight w:val="309" w:hRule="atLeast"/>
        </w:trPr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tabs>
                <w:tab w:val="left" w:pos="3172" w:leader="none"/>
              </w:tabs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Sukauptos gautinos sumos: 12622,18 Sudaro sukauptos valstybės ir savivaldybės biudžeto finansavimo pajamos kreditiniam įsiskolinimui, sukauptiems atostoginiams padengti, sukauptos pajamos už paslaugas (spec. programos lėšos), gautinos vaiko išlaikymo lėšos  (saviv. lėšos)</w:t>
            </w:r>
          </w:p>
          <w:p>
            <w:pPr>
              <w:pStyle w:val="Normal"/>
              <w:tabs>
                <w:tab w:val="left" w:pos="3172" w:leader="none"/>
              </w:tabs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633" w:hRule="atLeast"/>
        </w:trPr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>
              <w:rPr>
                <w:lang w:val="lt-LT"/>
              </w:rPr>
              <w:t xml:space="preserve">Pinigai banko sąskaitose: 7768,40 Eur iš jų: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lang w:val="lt-LT"/>
              </w:rPr>
              <w:t xml:space="preserve">savivaldybės biudžeto lėšos – 2639,78 Eur,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lang w:val="lt-LT"/>
              </w:rPr>
              <w:t>nemokamo maitinimo lėšos –  820 Eur.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lang w:val="lt-LT"/>
              </w:rPr>
              <w:t>mokinio krepšelio lėšos –  3083,58 Eur,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lang w:val="lt-LT"/>
              </w:rPr>
              <w:t xml:space="preserve">įstaigos pajamų lėšos –  210,99 Eur,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lang w:val="lt-LT"/>
              </w:rPr>
              <w:t xml:space="preserve">tėvų įmokų lėšos –  61,64 Eur,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lang w:val="lt-LT"/>
              </w:rPr>
              <w:t xml:space="preserve">paramos lėšos –  952,41  Eur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>
              <w:rPr>
                <w:lang w:val="lt-LT"/>
              </w:rPr>
              <w:t>Gautų ir panaudotų finansavimo sumų likučiai 20 VSAFAS 4 priede.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lang w:val="lt-LT"/>
              </w:rPr>
              <w:t xml:space="preserve">  </w:t>
            </w:r>
            <w:r>
              <w:rPr>
                <w:lang w:val="lt-LT"/>
              </w:rPr>
              <w:t>Gautų finansavimo sumų iš valstybės biudžeto likutį sudaro nepanaudotos mokinio krepšelio lėšos.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Gautų finansavimo sumų iš savivaldybės biudžeto likutį ataskaitinio laikotarpio pabaigoje sudaro sumos ilgalaikio turto likutinė vertė, nepanaudotos savivaldybės biudžeto lėšos ir nemokamo maitinimo lėšos, bei gautinos nemokamo maitinimo lėšos.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lang w:val="lt-LT"/>
              </w:rPr>
              <w:t xml:space="preserve">   </w:t>
            </w:r>
            <w:r>
              <w:rPr>
                <w:lang w:val="lt-LT"/>
              </w:rPr>
              <w:t>Gautinų finansavimo sumų iš kitų šaltinių likutį ataskaitinio laikotarpio pabaigoje sudaro ilgalaikio turto likutinė vertė ir nepanaudotos paramos lėšos banko sąskaitoje.</w:t>
            </w:r>
          </w:p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- kreditinis įsiskolinimas už komunalines paslaugas, remonto prekes ir maisto produktus:</w: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4332" w:leader="none"/>
              </w:tabs>
              <w:spacing w:lineRule="auto" w:line="360"/>
              <w:rPr/>
            </w:pPr>
            <w:r>
              <w:rPr>
                <w:lang w:val="lt-LT"/>
              </w:rPr>
              <w:t xml:space="preserve">   </w:t>
            </w:r>
            <w:r>
              <w:rPr>
                <w:lang w:val="lt-LT"/>
              </w:rPr>
              <w:t>1. UAB „Šiaulių vandenys“                                            5,24 Eur</w: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4332" w:leader="none"/>
              </w:tabs>
              <w:spacing w:lineRule="auto" w:line="360"/>
              <w:rPr/>
            </w:pPr>
            <w:r>
              <w:rPr>
                <w:lang w:val="lt-LT"/>
              </w:rPr>
              <w:t xml:space="preserve">   </w:t>
            </w:r>
            <w:r>
              <w:rPr>
                <w:lang w:val="lt-LT"/>
              </w:rPr>
              <w:t xml:space="preserve">2. |AB „Eso“                                                                    15,59 Eur              </w: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4332" w:leader="none"/>
              </w:tabs>
              <w:spacing w:lineRule="auto" w:line="360"/>
              <w:rPr/>
            </w:pPr>
            <w:r>
              <w:rPr>
                <w:lang w:val="lt-LT"/>
              </w:rPr>
              <w:t xml:space="preserve">   </w:t>
            </w:r>
            <w:r>
              <w:rPr>
                <w:lang w:val="lt-LT"/>
              </w:rPr>
              <w:t>3. AB „Šiaulių energija“                                                   1,08 Eur</w: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4332" w:leader="none"/>
              </w:tabs>
              <w:spacing w:lineRule="auto" w:line="360"/>
              <w:rPr/>
            </w:pPr>
            <w:r>
              <w:rPr>
                <w:lang w:val="lt-LT"/>
              </w:rPr>
              <w:t xml:space="preserve">   </w:t>
            </w:r>
            <w:r>
              <w:rPr>
                <w:lang w:val="lt-LT"/>
              </w:rPr>
              <w:t>4. UAB „Elektrum Lietuva“                                            32,77 Eur</w: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4332" w:leader="none"/>
              </w:tabs>
              <w:spacing w:lineRule="auto" w:line="360"/>
              <w:rPr/>
            </w:pPr>
            <w:r>
              <w:rPr>
                <w:lang w:val="lt-LT"/>
              </w:rPr>
              <w:t xml:space="preserve">   </w:t>
            </w:r>
            <w:r>
              <w:rPr>
                <w:lang w:val="lt-LT"/>
              </w:rPr>
              <w:t>5. UAB „Senoji eglė“                                                  1233,06 Eur</w: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4332" w:leader="none"/>
              </w:tabs>
              <w:spacing w:lineRule="auto" w:line="360"/>
              <w:rPr/>
            </w:pPr>
            <w:r>
              <w:rPr>
                <w:lang w:val="lt-LT"/>
              </w:rPr>
              <w:t xml:space="preserve">                                                                                      </w:t>
            </w:r>
            <w:r>
              <w:rPr>
                <w:lang w:val="lt-LT"/>
              </w:rPr>
              <w:t>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lang w:val="lt-LT"/>
              </w:rPr>
              <w:t xml:space="preserve">                                                                                        </w:t>
            </w:r>
            <w:r>
              <w:rPr>
                <w:lang w:val="lt-LT"/>
              </w:rPr>
              <w:t>1287,74 Eur</w:t>
            </w:r>
          </w:p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  </w:t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ind w:left="-43" w:right="0" w:hanging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Su darbo santykiais susiję įsipareigojimai :  socialinio draudimo įmokos – 5525,52 Eur.</w:t>
            </w:r>
            <w:r>
              <w:rPr>
                <w:bCs/>
                <w:lang w:val="lt-LT"/>
              </w:rPr>
              <w:t xml:space="preserve">  </w:t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ind w:left="-43" w:right="0" w:hanging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Sukauptos mokėtinos sumos. Atostogų rezervas  6153,97 Eur.</w:t>
            </w:r>
          </w:p>
        </w:tc>
      </w:tr>
      <w:tr>
        <w:trPr/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8655" w:type="dxa"/>
            <w:tcBorders/>
            <w:shd w:fill="auto" w:val="clear"/>
          </w:tcPr>
          <w:p>
            <w:pPr>
              <w:pStyle w:val="Normal"/>
              <w:spacing w:lineRule="auto" w:line="360"/>
              <w:ind w:left="-43" w:right="0" w:hanging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Grynasis turtas: 7537,98 Eur einamojo laikotarpio deficito ir metų pradžios perviršio suma.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caps/>
          <w:lang w:val="lt-LT"/>
        </w:rPr>
      </w:pPr>
      <w:r>
        <w:rPr>
          <w:lang w:val="lt-LT"/>
        </w:rPr>
        <w:t>III</w:t>
      </w:r>
      <w:r>
        <w:rPr>
          <w:b/>
          <w:lang w:val="lt-LT"/>
        </w:rPr>
        <w:t xml:space="preserve">                                      VEIKLOS REZULTATŲ ATASKAITA</w:t>
      </w:r>
    </w:p>
    <w:p>
      <w:pPr>
        <w:pStyle w:val="Normal"/>
        <w:spacing w:lineRule="auto" w:line="360"/>
        <w:jc w:val="center"/>
        <w:rPr>
          <w:b/>
          <w:b/>
          <w:caps/>
          <w:lang w:val="lt-LT"/>
        </w:rPr>
      </w:pPr>
      <w:r>
        <w:rPr>
          <w:b/>
          <w:caps/>
          <w:lang w:val="lt-LT"/>
        </w:rPr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16. Veiklos rezultatų ataskaitoje „Finansavimo pajamos iš valstybės biudžeto“ sudaro finansavimo pajamos iš  mokinio krepšelio lėšų (77421,36 Eur).</w:t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17. „Finansavimo pajamos iš savivaldybių biudžeto“ sudaro finansavimo pajamos Šiaulių miesto savivaldybės biudžeto ir vaiko išlaikymo įstaigoje lėšų (130566,48 Eur).</w:t>
            </w:r>
          </w:p>
        </w:tc>
      </w:tr>
      <w:tr>
        <w:trPr>
          <w:trHeight w:val="345" w:hRule="atLeast"/>
        </w:trPr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18. „Iš kitų finansavimo šaltinių  finansavimo pajamos“ sudaro paramos pajamos (1573,7). </w:t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19. „Pagrindinės veiklos kitos pajamos“ sudaro priskaičiuoti mokesčiai tėvams už vaiko išlaikymą įstaigoje (39969,38 Eur).</w:t>
            </w:r>
          </w:p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lang w:val="lt-LT"/>
              </w:rPr>
              <w:t>20. „Pagrindinės veiklos sąnaudos“ sudaro įstaigos priskaitytos išlaidos pagal straipsnius (252975,52 Eur).</w:t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lang w:val="lt-LT"/>
              </w:rPr>
            </w:pPr>
            <w:r>
              <w:rPr>
                <w:lang w:val="lt-LT"/>
              </w:rPr>
              <w:t>21. Pagrindinės veiklos pajamų ir sąnaudų skirtumas sudaro pagrindinės veiklos deficitą   - (3444,60 Eur).</w:t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lang w:val="lt-LT"/>
        </w:rPr>
        <w:tab/>
        <w:t xml:space="preserve"> </w:t>
      </w:r>
    </w:p>
    <w:p>
      <w:pPr>
        <w:pStyle w:val="Normal"/>
        <w:spacing w:lineRule="auto" w:line="360"/>
        <w:ind w:left="0" w:right="0" w:firstLine="360"/>
        <w:jc w:val="center"/>
        <w:rPr>
          <w:bCs/>
          <w:lang w:val="lt-LT"/>
        </w:rPr>
      </w:pPr>
      <w:r>
        <w:rPr>
          <w:b/>
          <w:bCs/>
          <w:lang w:val="lt-LT"/>
        </w:rPr>
        <w:t>Kitos pastabos</w:t>
      </w:r>
    </w:p>
    <w:p>
      <w:pPr>
        <w:pStyle w:val="Normal"/>
        <w:spacing w:lineRule="auto" w:line="360"/>
        <w:ind w:left="0" w:right="0" w:firstLine="360"/>
        <w:jc w:val="center"/>
        <w:rPr>
          <w:bCs/>
          <w:lang w:val="lt-LT"/>
        </w:rPr>
      </w:pPr>
      <w:r>
        <w:rPr>
          <w:bCs/>
          <w:lang w:val="lt-LT"/>
        </w:rPr>
      </w:r>
    </w:p>
    <w:p>
      <w:pPr>
        <w:pStyle w:val="Normal"/>
        <w:spacing w:lineRule="auto" w:line="360"/>
        <w:ind w:left="0" w:right="0" w:firstLine="360"/>
        <w:jc w:val="both"/>
        <w:rPr/>
      </w:pPr>
      <w:r>
        <w:rPr>
          <w:bCs/>
          <w:lang w:val="lt-LT"/>
        </w:rPr>
        <w:t xml:space="preserve">22. </w:t>
      </w:r>
      <w:r>
        <w:rPr>
          <w:lang w:val="lt-LT"/>
        </w:rPr>
        <w:t xml:space="preserve"> Per ataskaitinį laikotarpį  lopšelyje-darželyje  apskaitiniai įverčiai nebuvo keičiami. 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/>
        <w:t>23.  Lopšelio-darželio restruktūrizavimas nevyksta ir nėra numatytas.</w:t>
      </w:r>
    </w:p>
    <w:p>
      <w:pPr>
        <w:pStyle w:val="Normal"/>
        <w:spacing w:lineRule="auto" w:line="360"/>
        <w:ind w:left="0" w:right="0" w:firstLine="360"/>
        <w:jc w:val="both"/>
        <w:rPr/>
      </w:pPr>
      <w:r>
        <w:rPr/>
        <w:t>24. Neapibrėžtųjų įsipareigojimų, neapibrėžtojo turto pokyčių per ataskaitinį laikotarpį   nenustatyta.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/>
        <w:t>25. Teisinių ginčų per ataskaitinį laikotarpį nebuvo.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/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/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/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  <w:t>Direktorė                                                                                                        Regina Usienė</w:t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</w:t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  <w:t>Vyr. buhalterė</w:t>
        <w:tab/>
        <w:tab/>
        <w:tab/>
        <w:tab/>
        <w:tab/>
        <w:tab/>
        <w:tab/>
        <w:tab/>
        <w:tab/>
        <w:t>Dalia Žeknienė</w:t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</w:r>
    </w:p>
    <w:sectPr>
      <w:type w:val="nextPage"/>
      <w:pgSz w:w="11906" w:h="16838"/>
      <w:pgMar w:left="1584" w:right="562" w:header="0" w:top="144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Courier New">
    <w:charset w:val="ba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Arial">
    <w:charset w:val="ba"/>
    <w:family w:val="swiss"/>
    <w:pitch w:val="variable"/>
  </w:font>
  <w:font w:name="Tahoma"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Antrat1">
    <w:name w:val="Antraštė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sz w:val="28"/>
      <w:lang w:val="lt-LT"/>
    </w:rPr>
  </w:style>
  <w:style w:type="paragraph" w:styleId="Antrat3">
    <w:name w:val="Antraštė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lang w:val="lt-LT"/>
    </w:rPr>
  </w:style>
  <w:style w:type="character" w:styleId="DefaultParagraphFont">
    <w:name w:val="Default Paragraph Font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  <w:b w:val="false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Numatytasispastraiposriftas">
    <w:name w:val="Numatytasis pastraipos šriftas"/>
    <w:qFormat/>
    <w:rPr/>
  </w:style>
  <w:style w:type="character" w:styleId="DiagramaDiagrama">
    <w:name w:val=" Diagrama Diagrama"/>
    <w:basedOn w:val="Numatytasispastraiposriftas"/>
    <w:qFormat/>
    <w:rPr>
      <w:rFonts w:ascii="Cambria" w:hAnsi="Cambria" w:eastAsia="Times New Roman" w:cs="Times New Roman"/>
      <w:b/>
      <w:bCs/>
      <w:sz w:val="26"/>
      <w:szCs w:val="26"/>
      <w:lang w:val="en-US"/>
    </w:rPr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agrindinistekstas">
    <w:name w:val="Pagrindinis tekstas"/>
    <w:basedOn w:val="Normal"/>
    <w:pPr/>
    <w:rPr>
      <w:sz w:val="28"/>
      <w:lang w:val="lt-LT"/>
    </w:rPr>
  </w:style>
  <w:style w:type="paragraph" w:styleId="Sraas">
    <w:name w:val="Sąrašas"/>
    <w:basedOn w:val="Pagrindinistekstas"/>
    <w:pPr/>
    <w:rPr>
      <w:rFonts w:cs="Mangal"/>
    </w:rPr>
  </w:style>
  <w:style w:type="paragraph" w:styleId="Pavadinimas">
    <w:name w:val="Pavadinima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grindinistekstas2">
    <w:name w:val="Pagrindinis tekstas 2"/>
    <w:basedOn w:val="Normal"/>
    <w:qFormat/>
    <w:pPr>
      <w:jc w:val="both"/>
    </w:pPr>
    <w:rPr>
      <w:lang w:val="lt-LT"/>
    </w:rPr>
  </w:style>
  <w:style w:type="paragraph" w:styleId="Debesliotekstas">
    <w:name w:val="Debesėlio tekstas"/>
    <w:basedOn w:val="Normal"/>
    <w:qFormat/>
    <w:pPr/>
    <w:rPr>
      <w:rFonts w:ascii="Tahoma" w:hAnsi="Tahoma" w:cs="Tahoma"/>
      <w:sz w:val="16"/>
      <w:szCs w:val="16"/>
    </w:rPr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LibreOffice/5.0.3.2$Windows_x86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2015-11-22T20:57:00Z</dcterms:created>
  <dc:creator>sv.skyrius</dc:creator>
  <dc:language>lt-LT</dc:language>
  <cp:lastPrinted>2016-04-29T10:02:00Z</cp:lastPrinted>
  <dcterms:modified xsi:type="dcterms:W3CDTF">2016-11-15T14:55:45Z</dcterms:modified>
  <cp:revision>16</cp:revision>
  <dc:title>Šiaulių lopšelis – darželis “Kūlverstukas”</dc:title>
</cp:coreProperties>
</file>